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9F4F49">
        <w:rPr>
          <w:rFonts w:ascii="Times New Roman" w:hAnsi="Times New Roman"/>
          <w:sz w:val="24"/>
          <w:szCs w:val="24"/>
        </w:rPr>
        <w:t>23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9F4F49" w:rsidRPr="009F4F49" w:rsidRDefault="009F4F49" w:rsidP="009F4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49">
        <w:rPr>
          <w:rFonts w:ascii="Times New Roman" w:hAnsi="Times New Roman"/>
          <w:b/>
          <w:sz w:val="24"/>
          <w:szCs w:val="24"/>
        </w:rPr>
        <w:t xml:space="preserve">«Профилактика экстремизма и терроризма, а также минимизация </w:t>
      </w:r>
      <w:proofErr w:type="gramStart"/>
      <w:r w:rsidRPr="009F4F49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9F4F49">
        <w:rPr>
          <w:rFonts w:ascii="Times New Roman" w:hAnsi="Times New Roman"/>
          <w:b/>
          <w:sz w:val="24"/>
          <w:szCs w:val="24"/>
        </w:rPr>
        <w:t>или) ликвидация последствий терроризма и экстремизма на территории</w:t>
      </w:r>
    </w:p>
    <w:p w:rsidR="005E67D1" w:rsidRPr="009F4F49" w:rsidRDefault="009F4F49" w:rsidP="009F4F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4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МО Литейный округ</w:t>
      </w:r>
      <w:r w:rsidR="005E67D1" w:rsidRPr="009F4F49">
        <w:rPr>
          <w:rFonts w:ascii="Times New Roman" w:hAnsi="Times New Roman" w:cs="Times New Roman"/>
          <w:b/>
          <w:sz w:val="24"/>
          <w:szCs w:val="24"/>
        </w:rPr>
        <w:t xml:space="preserve"> 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E8044F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E8044F">
        <w:rPr>
          <w:rFonts w:ascii="Times New Roman" w:hAnsi="Times New Roman"/>
          <w:sz w:val="24"/>
          <w:szCs w:val="28"/>
        </w:rPr>
        <w:t xml:space="preserve">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9F4F49" w:rsidRDefault="005E67D1" w:rsidP="009F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F49">
        <w:rPr>
          <w:rFonts w:ascii="Times New Roman" w:hAnsi="Times New Roman"/>
          <w:sz w:val="24"/>
          <w:szCs w:val="24"/>
        </w:rPr>
        <w:t xml:space="preserve">1. Утвердить муниципальную программу внутригородского муниципального образования МО Литейный округ </w:t>
      </w:r>
      <w:r w:rsidR="009F4F49" w:rsidRPr="009F4F49">
        <w:rPr>
          <w:rFonts w:ascii="Times New Roman" w:hAnsi="Times New Roman"/>
          <w:sz w:val="24"/>
          <w:szCs w:val="24"/>
        </w:rPr>
        <w:t xml:space="preserve">«Профилактика экстремизма и терроризма, а также минимизация </w:t>
      </w:r>
      <w:proofErr w:type="gramStart"/>
      <w:r w:rsidR="009F4F49" w:rsidRPr="009F4F49">
        <w:rPr>
          <w:rFonts w:ascii="Times New Roman" w:hAnsi="Times New Roman"/>
          <w:sz w:val="24"/>
          <w:szCs w:val="24"/>
        </w:rPr>
        <w:t>и(</w:t>
      </w:r>
      <w:proofErr w:type="gramEnd"/>
      <w:r w:rsidR="009F4F49" w:rsidRPr="009F4F49">
        <w:rPr>
          <w:rFonts w:ascii="Times New Roman" w:hAnsi="Times New Roman"/>
          <w:sz w:val="24"/>
          <w:szCs w:val="24"/>
        </w:rPr>
        <w:t>или) ликвидация последствий терроризма и экстремизма на территории</w:t>
      </w:r>
      <w:r w:rsidR="009F4F49">
        <w:rPr>
          <w:rFonts w:ascii="Times New Roman" w:hAnsi="Times New Roman"/>
          <w:sz w:val="24"/>
          <w:szCs w:val="24"/>
        </w:rPr>
        <w:t xml:space="preserve"> </w:t>
      </w:r>
      <w:r w:rsidR="009F4F49" w:rsidRPr="009F4F49">
        <w:rPr>
          <w:rFonts w:ascii="Times New Roman" w:hAnsi="Times New Roman"/>
          <w:sz w:val="24"/>
          <w:szCs w:val="24"/>
        </w:rPr>
        <w:t>муниципального образования МО Литейный округ</w:t>
      </w:r>
      <w:r w:rsidR="009F4F49" w:rsidRPr="009F4F49">
        <w:rPr>
          <w:rFonts w:ascii="Times New Roman" w:eastAsia="Calibri" w:hAnsi="Times New Roman"/>
          <w:sz w:val="24"/>
          <w:szCs w:val="24"/>
        </w:rPr>
        <w:t xml:space="preserve"> </w:t>
      </w:r>
      <w:r w:rsidR="009F4F49" w:rsidRPr="009F4F49">
        <w:rPr>
          <w:rFonts w:ascii="Times New Roman" w:hAnsi="Times New Roman"/>
          <w:sz w:val="24"/>
          <w:szCs w:val="24"/>
        </w:rPr>
        <w:t xml:space="preserve"> на 2017 год» </w:t>
      </w:r>
      <w:r w:rsidRPr="009F4F49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9C298C" w:rsidRDefault="009C298C" w:rsidP="009C29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9C298C" w:rsidRPr="004B00AF" w:rsidRDefault="009C298C" w:rsidP="009C298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9C298C" w:rsidRDefault="009C298C" w:rsidP="009C2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C298C" w:rsidRDefault="009C298C" w:rsidP="009C29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0A1624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0A1624" w:rsidRPr="000A1624" w:rsidRDefault="000A1624" w:rsidP="000A1624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0A1624" w:rsidRPr="000A1624" w:rsidRDefault="000A1624" w:rsidP="000A162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>от 01.09.2016 № 23</w:t>
      </w:r>
    </w:p>
    <w:p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0A1624" w:rsidRPr="000A1624" w:rsidRDefault="000A1624" w:rsidP="000A1624">
      <w:pPr>
        <w:rPr>
          <w:lang w:eastAsia="ru-RU"/>
        </w:rPr>
      </w:pPr>
    </w:p>
    <w:p w:rsidR="005E67D1" w:rsidRPr="000A1624" w:rsidRDefault="000A1624" w:rsidP="000A162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A1624">
        <w:rPr>
          <w:rFonts w:ascii="Times New Roman" w:hAnsi="Times New Roman"/>
          <w:b/>
          <w:sz w:val="32"/>
          <w:szCs w:val="24"/>
        </w:rPr>
        <w:t xml:space="preserve">«Профилактика экстремизма и терроризма, а также минимизация </w:t>
      </w:r>
      <w:proofErr w:type="gramStart"/>
      <w:r w:rsidRPr="000A1624">
        <w:rPr>
          <w:rFonts w:ascii="Times New Roman" w:hAnsi="Times New Roman"/>
          <w:b/>
          <w:sz w:val="32"/>
          <w:szCs w:val="24"/>
        </w:rPr>
        <w:t>и(</w:t>
      </w:r>
      <w:proofErr w:type="gramEnd"/>
      <w:r w:rsidRPr="000A1624">
        <w:rPr>
          <w:rFonts w:ascii="Times New Roman" w:hAnsi="Times New Roman"/>
          <w:b/>
          <w:sz w:val="32"/>
          <w:szCs w:val="24"/>
        </w:rPr>
        <w:t>или) ликвидация последствий терроризма и экстремизма на территории</w:t>
      </w:r>
      <w:r>
        <w:rPr>
          <w:rFonts w:ascii="Times New Roman" w:hAnsi="Times New Roman"/>
          <w:b/>
          <w:sz w:val="32"/>
          <w:szCs w:val="24"/>
        </w:rPr>
        <w:t xml:space="preserve"> внутригородского</w:t>
      </w:r>
      <w:r w:rsidRPr="000A1624">
        <w:rPr>
          <w:rFonts w:ascii="Times New Roman" w:hAnsi="Times New Roman"/>
          <w:b/>
          <w:sz w:val="32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32"/>
          <w:szCs w:val="24"/>
        </w:rPr>
        <w:t>Санкт-Петербурга муниципальный округ</w:t>
      </w:r>
      <w:r w:rsidRPr="000A1624">
        <w:rPr>
          <w:rFonts w:ascii="Times New Roman" w:hAnsi="Times New Roman"/>
          <w:b/>
          <w:sz w:val="32"/>
          <w:szCs w:val="24"/>
        </w:rPr>
        <w:t xml:space="preserve"> Литейный округ  на 2017 год»</w:t>
      </w:r>
    </w:p>
    <w:p w:rsidR="005E67D1" w:rsidRDefault="005E67D1" w:rsidP="005E67D1"/>
    <w:p w:rsidR="00FC0103" w:rsidRDefault="00FC0103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 w:rsidP="000A1624"/>
    <w:p w:rsidR="000A1624" w:rsidRPr="000A1624" w:rsidRDefault="000A1624" w:rsidP="000A1624">
      <w:pPr>
        <w:jc w:val="center"/>
        <w:rPr>
          <w:rFonts w:ascii="Times New Roman" w:hAnsi="Times New Roman"/>
          <w:b/>
          <w:sz w:val="24"/>
          <w:szCs w:val="24"/>
        </w:rPr>
      </w:pPr>
      <w:r w:rsidRPr="000A1624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1071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3060"/>
        <w:gridCol w:w="7650"/>
      </w:tblGrid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Профилактика экстремизма и терроризма, а также минимизация </w:t>
            </w: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A1624">
              <w:rPr>
                <w:rFonts w:ascii="Times New Roman" w:hAnsi="Times New Roman"/>
                <w:sz w:val="24"/>
                <w:szCs w:val="24"/>
              </w:rPr>
              <w:t>или) ликвидация последствий терроризма и экстремизма на территории внутригородского муниципального образования Санкт-Петербурга муниципальный округ Литейный округ  на 2017 год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0A1624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0A1624">
              <w:rPr>
                <w:rFonts w:ascii="Times New Roman" w:hAnsi="Times New Roman"/>
                <w:sz w:val="24"/>
                <w:szCs w:val="24"/>
              </w:rPr>
              <w:t xml:space="preserve"> округ Литейный округ.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Отдел культуры, молодежной политики и социальных услуг Местной Администрации МО </w:t>
            </w:r>
            <w:proofErr w:type="spellStart"/>
            <w:r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0A1624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autoSpaceDE w:val="0"/>
              <w:snapToGrid w:val="0"/>
              <w:spacing w:line="0" w:lineRule="atLeast"/>
              <w:ind w:left="42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Цель Программы: участие органов местного самоуправления МО Литейный округ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актами, в профилактике правонарушений,  в предотвращению терроризма и экстремизма, в совершенствовании системы формирования толерантного сознания и поведения, воспитания культуры мира, обеспечения атмосферы межнационального мира и согласия.</w:t>
            </w:r>
            <w:proofErr w:type="gramEnd"/>
          </w:p>
          <w:p w:rsidR="000A1624" w:rsidRPr="000A1624" w:rsidRDefault="000A1624" w:rsidP="001C263B">
            <w:pPr>
              <w:autoSpaceDE w:val="0"/>
              <w:snapToGrid w:val="0"/>
              <w:spacing w:line="0" w:lineRule="atLeast"/>
              <w:ind w:left="42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0A1624" w:rsidRPr="000A1624" w:rsidRDefault="000A1624" w:rsidP="000A1624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0A1624" w:rsidRPr="000A1624" w:rsidRDefault="000A1624" w:rsidP="000A1624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Деятельность по выявлению, предупреждению, пресечению, раскрытию и расследованию террористического акта (борьба с терроризмом);</w:t>
            </w:r>
          </w:p>
          <w:p w:rsidR="000A1624" w:rsidRPr="000A1624" w:rsidRDefault="000A1624" w:rsidP="000A1624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терроризма;</w:t>
            </w:r>
          </w:p>
          <w:p w:rsidR="000A1624" w:rsidRPr="000A1624" w:rsidRDefault="000A1624" w:rsidP="000A1624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Деятельность по воспитанию культуры толерантности.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4" w:rsidRPr="000A1624" w:rsidRDefault="000A1624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Показатели:</w:t>
            </w:r>
          </w:p>
          <w:p w:rsidR="000A1624" w:rsidRPr="000A1624" w:rsidRDefault="000A1624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мероприятий, направленных на профилактику </w:t>
            </w:r>
            <w:r w:rsidRPr="000A1624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(% отношение от запланированного количества).</w:t>
            </w:r>
          </w:p>
          <w:p w:rsidR="000A1624" w:rsidRPr="000A1624" w:rsidRDefault="000A1624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 их наличии)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ind w:left="-78" w:right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0A1624" w:rsidRPr="000A1624" w:rsidTr="001C263B">
        <w:trPr>
          <w:trHeight w:val="677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62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основных мероприятий настоящей Программы </w:t>
            </w:r>
            <w:r w:rsidRPr="000A1624">
              <w:rPr>
                <w:rFonts w:ascii="Times New Roman" w:eastAsia="Calibri" w:hAnsi="Times New Roman"/>
                <w:sz w:val="24"/>
                <w:szCs w:val="24"/>
              </w:rPr>
              <w:t>представлен в Приложении № 1. </w:t>
            </w:r>
          </w:p>
        </w:tc>
      </w:tr>
      <w:tr w:rsidR="000A1624" w:rsidRPr="000A1624" w:rsidTr="001C263B">
        <w:trPr>
          <w:trHeight w:val="988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Объемы финансирования 9(тыс. руб.)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80,0 тыс. рублей</w:t>
            </w:r>
          </w:p>
        </w:tc>
      </w:tr>
      <w:tr w:rsidR="000A1624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 воспитанию культуры толерантности;</w:t>
            </w:r>
          </w:p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формирование у жителей округа неприятия теории насилия и идей терроризма;</w:t>
            </w:r>
          </w:p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недопущение экстремистских настроений среди молодежи;</w:t>
            </w:r>
          </w:p>
          <w:p w:rsidR="000A1624" w:rsidRPr="000A1624" w:rsidRDefault="000A1624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воспитание у населения позитивных ценностей и установок на уважение, принятие и понимание богатого многообразий культур народов, населяющих СПб, их традиций и этнических ценностей, укрепление толерантности.</w:t>
            </w:r>
          </w:p>
        </w:tc>
      </w:tr>
      <w:tr w:rsidR="000A1624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A162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Муниципальный Совет внутригородского муниципального образования </w:t>
            </w:r>
            <w:proofErr w:type="gramStart"/>
            <w:r w:rsidRPr="000A1624">
              <w:rPr>
                <w:rFonts w:ascii="Times New Roman" w:eastAsia="Calibri" w:hAnsi="Times New Roman"/>
                <w:sz w:val="24"/>
                <w:szCs w:val="24"/>
              </w:rPr>
              <w:t>муниципальный</w:t>
            </w:r>
            <w:proofErr w:type="gramEnd"/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округ Литейный округ</w:t>
            </w:r>
            <w:r w:rsidR="0077250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772506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bookmarkStart w:id="0" w:name="_GoBack"/>
            <w:bookmarkEnd w:id="0"/>
          </w:p>
        </w:tc>
      </w:tr>
    </w:tbl>
    <w:p w:rsidR="000A1624" w:rsidRPr="000A1624" w:rsidRDefault="000A1624" w:rsidP="000A1624">
      <w:pPr>
        <w:ind w:left="-1080"/>
        <w:jc w:val="center"/>
        <w:rPr>
          <w:rFonts w:ascii="Times New Roman" w:hAnsi="Times New Roman"/>
          <w:sz w:val="24"/>
          <w:szCs w:val="24"/>
        </w:rPr>
      </w:pPr>
    </w:p>
    <w:p w:rsidR="000A1624" w:rsidRPr="000A1624" w:rsidRDefault="000A1624" w:rsidP="000A1624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0A16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0A1624" w:rsidRPr="000A1624" w:rsidRDefault="000A1624" w:rsidP="000A1624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0A1624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0A1624" w:rsidRPr="000A1624" w:rsidRDefault="000A1624" w:rsidP="000A1624">
      <w:pPr>
        <w:ind w:left="-1080"/>
        <w:jc w:val="center"/>
        <w:rPr>
          <w:rFonts w:ascii="Times New Roman" w:hAnsi="Times New Roman"/>
          <w:sz w:val="24"/>
          <w:szCs w:val="24"/>
        </w:rPr>
      </w:pPr>
    </w:p>
    <w:p w:rsidR="000A1624" w:rsidRPr="000A1624" w:rsidRDefault="000A1624" w:rsidP="000A1624">
      <w:pPr>
        <w:pStyle w:val="a8"/>
        <w:ind w:left="-675" w:right="-144" w:firstLine="425"/>
        <w:jc w:val="both"/>
        <w:rPr>
          <w:bCs/>
        </w:rPr>
      </w:pPr>
      <w:r w:rsidRPr="000A1624">
        <w:rPr>
          <w:bCs/>
        </w:rPr>
        <w:t>Проблема агрессивного и экстремистского поведения граждан так же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0A1624" w:rsidRPr="000A1624" w:rsidRDefault="000A1624" w:rsidP="000A1624">
      <w:pPr>
        <w:snapToGrid w:val="0"/>
        <w:spacing w:after="0" w:line="240" w:lineRule="auto"/>
        <w:ind w:left="-709" w:right="-144" w:firstLine="425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позволит </w:t>
      </w:r>
      <w:r w:rsidRPr="000A1624">
        <w:rPr>
          <w:rFonts w:ascii="Times New Roman" w:hAnsi="Times New Roman"/>
          <w:sz w:val="24"/>
          <w:szCs w:val="24"/>
        </w:rPr>
        <w:t>пресечь преступления, направленные на терроризм и экстремизм среди населения округа. Усилить роль органов местного самоуправления в проведении работ по профилактике экстремизма и терроризма в округе.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0A1624">
        <w:rPr>
          <w:rFonts w:ascii="Times New Roman" w:hAnsi="Times New Roman"/>
          <w:sz w:val="24"/>
          <w:szCs w:val="24"/>
        </w:rPr>
        <w:t xml:space="preserve">«Профилактика экстремизма и терроризма, а также минимизация </w:t>
      </w:r>
      <w:proofErr w:type="gramStart"/>
      <w:r w:rsidRPr="000A1624">
        <w:rPr>
          <w:rFonts w:ascii="Times New Roman" w:hAnsi="Times New Roman"/>
          <w:sz w:val="24"/>
          <w:szCs w:val="24"/>
        </w:rPr>
        <w:t>и(</w:t>
      </w:r>
      <w:proofErr w:type="gramEnd"/>
      <w:r w:rsidRPr="000A1624">
        <w:rPr>
          <w:rFonts w:ascii="Times New Roman" w:hAnsi="Times New Roman"/>
          <w:sz w:val="24"/>
          <w:szCs w:val="24"/>
        </w:rPr>
        <w:t>или) ликвидация последствий терроризма и экстремизма на территории внутригородского муниципального образования Санкт-Петербурга муниципальный округ Литейный округ  на 2017 год»</w:t>
      </w:r>
      <w:r w:rsidRPr="000A1624">
        <w:rPr>
          <w:rFonts w:ascii="Times New Roman" w:eastAsia="Calibri" w:hAnsi="Times New Roman"/>
          <w:sz w:val="24"/>
          <w:szCs w:val="24"/>
        </w:rPr>
        <w:t xml:space="preserve"> </w:t>
      </w:r>
      <w:r w:rsidRPr="000A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разработана в соответствии с </w:t>
      </w:r>
      <w:r w:rsidRPr="000A1624">
        <w:rPr>
          <w:rFonts w:ascii="Times New Roman" w:eastAsia="Calibri" w:hAnsi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Pr="000A1624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муниципальный округ Литейный округ от 15.07.2015 г. № 11 «Об утверждении Порядка разработки, реализации и оценки эффективности </w:t>
      </w:r>
      <w:r w:rsidRPr="000A1624">
        <w:rPr>
          <w:rFonts w:ascii="Times New Roman" w:hAnsi="Times New Roman"/>
          <w:sz w:val="24"/>
          <w:szCs w:val="24"/>
        </w:rPr>
        <w:lastRenderedPageBreak/>
        <w:t>муниципальных программ муниципального образования муниципального округа Литейный округ».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Заказчиком Программы является Местная Администрация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  <w:lang w:eastAsia="ru-RU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 округ Литейный округ (далее – Местная Администрация).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Программа рассчитана на реализацию в течение 2017 года.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Программа разрабатывалась </w:t>
      </w:r>
      <w:r w:rsidRPr="000A1624">
        <w:rPr>
          <w:rFonts w:ascii="Times New Roman" w:eastAsia="Calibri" w:hAnsi="Times New Roman"/>
          <w:sz w:val="24"/>
          <w:szCs w:val="24"/>
        </w:rPr>
        <w:t xml:space="preserve">отделом культуры, молодежной политики и социальных услуг Местной Администрации МО </w:t>
      </w:r>
      <w:proofErr w:type="spellStart"/>
      <w:r w:rsidRPr="000A1624">
        <w:rPr>
          <w:rFonts w:ascii="Times New Roman" w:eastAsia="Calibri" w:hAnsi="Times New Roman"/>
          <w:sz w:val="24"/>
          <w:szCs w:val="24"/>
        </w:rPr>
        <w:t>МО</w:t>
      </w:r>
      <w:proofErr w:type="spellEnd"/>
      <w:r w:rsidRPr="000A1624">
        <w:rPr>
          <w:rFonts w:ascii="Times New Roman" w:eastAsia="Calibri" w:hAnsi="Times New Roman"/>
          <w:sz w:val="24"/>
          <w:szCs w:val="24"/>
        </w:rPr>
        <w:t xml:space="preserve"> Литейный округ</w:t>
      </w:r>
    </w:p>
    <w:p w:rsidR="000A1624" w:rsidRPr="000A1624" w:rsidRDefault="000A1624" w:rsidP="000A1624">
      <w:pPr>
        <w:pStyle w:val="a7"/>
        <w:shd w:val="clear" w:color="auto" w:fill="FFFFFF"/>
        <w:ind w:right="-144" w:firstLine="425"/>
        <w:jc w:val="center"/>
        <w:rPr>
          <w:rStyle w:val="a6"/>
          <w:color w:val="000000"/>
        </w:rPr>
      </w:pPr>
    </w:p>
    <w:p w:rsidR="000A1624" w:rsidRPr="000A1624" w:rsidRDefault="000A1624" w:rsidP="000A1624">
      <w:pPr>
        <w:pStyle w:val="a7"/>
        <w:shd w:val="clear" w:color="auto" w:fill="FFFFFF"/>
        <w:ind w:right="-144" w:firstLine="425"/>
        <w:jc w:val="center"/>
        <w:rPr>
          <w:rStyle w:val="a6"/>
          <w:color w:val="000000"/>
        </w:rPr>
      </w:pPr>
      <w:r w:rsidRPr="000A1624">
        <w:rPr>
          <w:rStyle w:val="a6"/>
          <w:color w:val="000000"/>
        </w:rPr>
        <w:t>Раздел II. Цели и задачи Программы</w:t>
      </w:r>
    </w:p>
    <w:p w:rsidR="000A1624" w:rsidRPr="000A1624" w:rsidRDefault="000A1624" w:rsidP="000A1624">
      <w:pPr>
        <w:pStyle w:val="a7"/>
        <w:shd w:val="clear" w:color="auto" w:fill="FFFFFF"/>
        <w:ind w:right="-144" w:firstLine="425"/>
        <w:jc w:val="both"/>
        <w:rPr>
          <w:rStyle w:val="a6"/>
          <w:color w:val="000000"/>
        </w:rPr>
      </w:pPr>
    </w:p>
    <w:p w:rsidR="000A1624" w:rsidRPr="000A1624" w:rsidRDefault="000A1624" w:rsidP="000A1624">
      <w:pPr>
        <w:autoSpaceDE w:val="0"/>
        <w:snapToGrid w:val="0"/>
        <w:spacing w:after="0" w:line="240" w:lineRule="auto"/>
        <w:ind w:left="-709" w:right="2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624">
        <w:rPr>
          <w:rFonts w:ascii="Times New Roman" w:hAnsi="Times New Roman"/>
          <w:sz w:val="24"/>
          <w:szCs w:val="24"/>
        </w:rPr>
        <w:t>Цель Программы - участие органов местного самоуправления МО Литейный округ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актами, в профилактике правонарушений,  в предотвращению терроризма и экстремизма, в совершенствовании системы формирования толерантного сознания и поведения, воспитания культуры мира, обеспечения атмосферы межнационального мира и согласия.</w:t>
      </w:r>
      <w:proofErr w:type="gramEnd"/>
    </w:p>
    <w:p w:rsidR="000A1624" w:rsidRPr="000A1624" w:rsidRDefault="000A1624" w:rsidP="000A1624">
      <w:pPr>
        <w:autoSpaceDE w:val="0"/>
        <w:snapToGrid w:val="0"/>
        <w:spacing w:after="0" w:line="240" w:lineRule="auto"/>
        <w:ind w:left="-709" w:right="-144" w:firstLine="425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Задачи Программы:</w:t>
      </w:r>
    </w:p>
    <w:p w:rsidR="000A1624" w:rsidRPr="000A1624" w:rsidRDefault="000A1624" w:rsidP="000A1624">
      <w:pPr>
        <w:numPr>
          <w:ilvl w:val="0"/>
          <w:numId w:val="2"/>
        </w:numPr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A1624" w:rsidRPr="000A1624" w:rsidRDefault="000A1624" w:rsidP="000A1624">
      <w:pPr>
        <w:numPr>
          <w:ilvl w:val="0"/>
          <w:numId w:val="2"/>
        </w:numPr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Деятельность по выявлению, предупреждению, пресечению, раскрытию и расследованию террористического акта (борьба с терроризмом);</w:t>
      </w:r>
    </w:p>
    <w:p w:rsidR="000A1624" w:rsidRPr="000A1624" w:rsidRDefault="000A1624" w:rsidP="000A1624">
      <w:pPr>
        <w:numPr>
          <w:ilvl w:val="0"/>
          <w:numId w:val="2"/>
        </w:numPr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Деятельность по минимизации и (или) ликвидации последствий проявлений терроризма;</w:t>
      </w:r>
    </w:p>
    <w:p w:rsidR="000A1624" w:rsidRPr="000A1624" w:rsidRDefault="000A1624" w:rsidP="000A1624">
      <w:pPr>
        <w:numPr>
          <w:ilvl w:val="0"/>
          <w:numId w:val="2"/>
        </w:numPr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Деятельность по воспитанию культуры толерантности</w:t>
      </w:r>
    </w:p>
    <w:p w:rsidR="000A1624" w:rsidRPr="000A1624" w:rsidRDefault="000A1624" w:rsidP="000A1624">
      <w:pPr>
        <w:autoSpaceDE w:val="0"/>
        <w:snapToGrid w:val="0"/>
        <w:spacing w:line="0" w:lineRule="atLeast"/>
        <w:ind w:left="-675" w:right="-391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0A1624" w:rsidRPr="000A1624" w:rsidRDefault="000A1624" w:rsidP="000A1624">
      <w:pPr>
        <w:autoSpaceDE w:val="0"/>
        <w:snapToGrid w:val="0"/>
        <w:spacing w:line="0" w:lineRule="atLeast"/>
        <w:ind w:left="-675" w:right="-39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624">
        <w:rPr>
          <w:rStyle w:val="a6"/>
          <w:rFonts w:ascii="Times New Roman" w:hAnsi="Times New Roman"/>
          <w:color w:val="000000"/>
          <w:sz w:val="24"/>
          <w:szCs w:val="24"/>
        </w:rPr>
        <w:t>Раздел I</w:t>
      </w:r>
      <w:r w:rsidRPr="000A1624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6"/>
          <w:rFonts w:ascii="Times New Roman" w:hAnsi="Times New Roman"/>
          <w:color w:val="000000"/>
          <w:sz w:val="24"/>
          <w:szCs w:val="24"/>
        </w:rPr>
        <w:t>I. Сроки и этапы реализации Программы</w:t>
      </w:r>
    </w:p>
    <w:p w:rsidR="000A1624" w:rsidRPr="000A1624" w:rsidRDefault="000A1624" w:rsidP="000A1624">
      <w:pPr>
        <w:pStyle w:val="a7"/>
        <w:shd w:val="clear" w:color="auto" w:fill="FFFFFF"/>
        <w:jc w:val="both"/>
        <w:rPr>
          <w:rStyle w:val="a6"/>
          <w:b w:val="0"/>
          <w:color w:val="000000"/>
        </w:rPr>
      </w:pPr>
      <w:r w:rsidRPr="000A1624">
        <w:rPr>
          <w:rStyle w:val="a6"/>
          <w:b w:val="0"/>
          <w:color w:val="000000"/>
        </w:rPr>
        <w:t>Реализация программа рассчитана на 2017 год</w:t>
      </w:r>
    </w:p>
    <w:p w:rsidR="000A1624" w:rsidRPr="000A1624" w:rsidRDefault="000A1624" w:rsidP="000A1624">
      <w:pPr>
        <w:pStyle w:val="a7"/>
        <w:shd w:val="clear" w:color="auto" w:fill="FFFFFF"/>
        <w:jc w:val="center"/>
        <w:rPr>
          <w:rStyle w:val="a6"/>
          <w:color w:val="000000"/>
        </w:rPr>
      </w:pPr>
    </w:p>
    <w:p w:rsidR="000A1624" w:rsidRPr="000A1624" w:rsidRDefault="000A1624" w:rsidP="000A1624">
      <w:pPr>
        <w:pStyle w:val="a7"/>
        <w:shd w:val="clear" w:color="auto" w:fill="FFFFFF"/>
        <w:jc w:val="center"/>
        <w:rPr>
          <w:rStyle w:val="a6"/>
          <w:color w:val="000000"/>
        </w:rPr>
      </w:pPr>
      <w:r w:rsidRPr="000A1624">
        <w:rPr>
          <w:rStyle w:val="a6"/>
          <w:color w:val="000000"/>
        </w:rPr>
        <w:t>Раздел I</w:t>
      </w:r>
      <w:r w:rsidRPr="000A1624">
        <w:rPr>
          <w:rStyle w:val="a6"/>
          <w:color w:val="000000"/>
          <w:lang w:val="en-US"/>
        </w:rPr>
        <w:t>V</w:t>
      </w:r>
      <w:r w:rsidRPr="000A1624">
        <w:rPr>
          <w:rStyle w:val="a6"/>
          <w:color w:val="000000"/>
        </w:rPr>
        <w:t>. Перечень основных мероприятий Программы</w:t>
      </w:r>
    </w:p>
    <w:p w:rsidR="000A1624" w:rsidRPr="000A1624" w:rsidRDefault="000A1624" w:rsidP="000A1624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0A1624" w:rsidRPr="000A1624" w:rsidRDefault="000A1624" w:rsidP="000A1624">
      <w:pPr>
        <w:ind w:left="-645" w:right="-2" w:firstLine="425"/>
        <w:jc w:val="both"/>
        <w:rPr>
          <w:rFonts w:ascii="Times New Roman" w:hAnsi="Times New Roman"/>
          <w:bCs/>
          <w:sz w:val="24"/>
          <w:szCs w:val="24"/>
        </w:rPr>
      </w:pPr>
      <w:r w:rsidRPr="000A1624">
        <w:rPr>
          <w:rFonts w:ascii="Times New Roman" w:hAnsi="Times New Roman"/>
          <w:bCs/>
          <w:sz w:val="24"/>
          <w:szCs w:val="24"/>
        </w:rPr>
        <w:tab/>
        <w:t>Перечень основных мероприятий Программы  представлен в виде таблицы в Приложении № 1.</w:t>
      </w:r>
    </w:p>
    <w:p w:rsidR="000A1624" w:rsidRPr="000A1624" w:rsidRDefault="000A1624" w:rsidP="000A1624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6"/>
          <w:rFonts w:ascii="Times New Roman" w:hAnsi="Times New Roman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A1624">
        <w:rPr>
          <w:rStyle w:val="a6"/>
          <w:rFonts w:ascii="Times New Roman" w:hAnsi="Times New Roman"/>
          <w:sz w:val="24"/>
          <w:szCs w:val="24"/>
        </w:rPr>
        <w:t>V. Механизм реализации Программы</w:t>
      </w:r>
    </w:p>
    <w:p w:rsidR="000A1624" w:rsidRPr="000A1624" w:rsidRDefault="000A1624" w:rsidP="000A1624">
      <w:pPr>
        <w:pStyle w:val="a3"/>
        <w:spacing w:line="0" w:lineRule="atLeast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62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1624" w:rsidRPr="000A1624" w:rsidRDefault="000A1624" w:rsidP="000A1624">
      <w:pPr>
        <w:spacing w:line="0" w:lineRule="atLeast"/>
        <w:ind w:left="-709" w:firstLine="425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Управление реализацией Программы в целом осуществляется Местной Администрацией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  <w:lang w:eastAsia="ru-RU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 округ Литейный округ (далее – Местная Администрация). </w:t>
      </w:r>
    </w:p>
    <w:p w:rsidR="000A1624" w:rsidRPr="000A1624" w:rsidRDefault="000A1624" w:rsidP="000A1624">
      <w:pPr>
        <w:pStyle w:val="a9"/>
        <w:ind w:left="0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0A1624" w:rsidRPr="000A1624" w:rsidRDefault="000A1624" w:rsidP="000A1624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A1624">
        <w:rPr>
          <w:rStyle w:val="a6"/>
          <w:rFonts w:ascii="Times New Roman" w:hAnsi="Times New Roman"/>
          <w:color w:val="000000"/>
          <w:sz w:val="24"/>
          <w:szCs w:val="24"/>
        </w:rPr>
        <w:t>V</w:t>
      </w:r>
      <w:r w:rsidRPr="000A1624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6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0A1624" w:rsidRPr="000A1624" w:rsidRDefault="000A1624" w:rsidP="000A1624">
      <w:pPr>
        <w:spacing w:line="0" w:lineRule="atLeast"/>
        <w:ind w:left="-709" w:right="-144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0A1624" w:rsidRPr="000A1624" w:rsidRDefault="000A1624" w:rsidP="000A1624">
      <w:pPr>
        <w:spacing w:line="0" w:lineRule="atLeast"/>
        <w:ind w:left="-709" w:right="-144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lastRenderedPageBreak/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</w:rPr>
        <w:t xml:space="preserve"> округ Литейный округ.</w:t>
      </w:r>
    </w:p>
    <w:p w:rsidR="000A1624" w:rsidRPr="000A1624" w:rsidRDefault="000A1624" w:rsidP="000A1624">
      <w:pPr>
        <w:spacing w:line="0" w:lineRule="atLeast"/>
        <w:ind w:left="-709" w:right="-144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Общий объем финансирования Программы составляет 80,0 тысяч рублей.</w:t>
      </w:r>
    </w:p>
    <w:p w:rsidR="000A1624" w:rsidRPr="000A1624" w:rsidRDefault="000A1624" w:rsidP="000A16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A1624" w:rsidRPr="000A1624" w:rsidRDefault="000A1624" w:rsidP="000A1624">
      <w:pPr>
        <w:pStyle w:val="a7"/>
        <w:shd w:val="clear" w:color="auto" w:fill="FFFFFF"/>
        <w:jc w:val="center"/>
        <w:rPr>
          <w:rStyle w:val="a6"/>
          <w:color w:val="000000"/>
        </w:rPr>
      </w:pPr>
      <w:r w:rsidRPr="000A1624">
        <w:rPr>
          <w:rStyle w:val="a6"/>
          <w:color w:val="000000"/>
        </w:rPr>
        <w:t>Раздел</w:t>
      </w:r>
      <w:r w:rsidRPr="000A1624">
        <w:rPr>
          <w:rStyle w:val="apple-converted-space"/>
          <w:b/>
          <w:bCs/>
          <w:color w:val="000000"/>
        </w:rPr>
        <w:t> </w:t>
      </w:r>
      <w:r w:rsidRPr="000A1624">
        <w:rPr>
          <w:rStyle w:val="a6"/>
          <w:color w:val="000000"/>
        </w:rPr>
        <w:t>V</w:t>
      </w:r>
      <w:r w:rsidRPr="000A1624">
        <w:rPr>
          <w:rStyle w:val="a6"/>
          <w:color w:val="000000"/>
          <w:lang w:val="en-US"/>
        </w:rPr>
        <w:t>II</w:t>
      </w:r>
      <w:r w:rsidRPr="000A1624">
        <w:rPr>
          <w:rStyle w:val="a6"/>
          <w:color w:val="000000"/>
        </w:rPr>
        <w:t>. Ожидаемые конечные результаты Программ</w:t>
      </w:r>
    </w:p>
    <w:p w:rsidR="000A1624" w:rsidRPr="000A1624" w:rsidRDefault="000A1624" w:rsidP="000A1624">
      <w:pPr>
        <w:pStyle w:val="a7"/>
        <w:shd w:val="clear" w:color="auto" w:fill="FFFFFF"/>
        <w:jc w:val="center"/>
        <w:rPr>
          <w:rStyle w:val="a6"/>
          <w:color w:val="000000"/>
        </w:rPr>
      </w:pPr>
    </w:p>
    <w:p w:rsidR="000A1624" w:rsidRPr="000A1624" w:rsidRDefault="000A1624" w:rsidP="000A1624">
      <w:pPr>
        <w:pStyle w:val="a7"/>
        <w:shd w:val="clear" w:color="auto" w:fill="FFFFFF"/>
        <w:spacing w:after="0"/>
        <w:ind w:left="-709" w:right="-142" w:firstLine="425"/>
        <w:jc w:val="both"/>
      </w:pPr>
      <w:r w:rsidRPr="000A1624">
        <w:t>Реализация Программы позволит осуществить: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повышение уровня культуры толерантности;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сформировать у жителей округа неприятие теории насилия и идей терроризма;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не допустить экстремистских настроений среди молодежи;</w:t>
      </w:r>
    </w:p>
    <w:p w:rsidR="000A1624" w:rsidRPr="000A1624" w:rsidRDefault="000A1624" w:rsidP="000A1624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A1624">
        <w:rPr>
          <w:rFonts w:ascii="Times New Roman" w:hAnsi="Times New Roman"/>
          <w:sz w:val="24"/>
          <w:szCs w:val="24"/>
        </w:rPr>
        <w:t>воспитать у населения позитивные ценности и установки на уважение, принятие и понимание богатого многообразия культур народов, населяющих СПб, их традиций и этнических ценностей, укрепление толерантности.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Риски реализации Программы.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0A1624" w:rsidRPr="000A1624" w:rsidRDefault="000A1624" w:rsidP="000A1624">
      <w:pPr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0A1624" w:rsidRPr="000A1624" w:rsidRDefault="000A1624" w:rsidP="000A1624">
      <w:pPr>
        <w:spacing w:after="0" w:line="240" w:lineRule="auto"/>
        <w:ind w:left="-709" w:right="-144" w:firstLine="425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0A1624" w:rsidRPr="000A1624" w:rsidRDefault="000A1624" w:rsidP="000A1624">
      <w:pPr>
        <w:spacing w:after="0" w:line="240" w:lineRule="auto"/>
        <w:ind w:left="-709" w:right="-284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программ. </w:t>
      </w:r>
    </w:p>
    <w:p w:rsidR="000A1624" w:rsidRPr="000A1624" w:rsidRDefault="000A1624" w:rsidP="000A1624">
      <w:pPr>
        <w:shd w:val="clear" w:color="auto" w:fill="FFFFFF"/>
        <w:spacing w:before="100" w:beforeAutospacing="1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0A162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Система </w:t>
      </w:r>
      <w:proofErr w:type="gramStart"/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0A1624" w:rsidRPr="000A1624" w:rsidRDefault="000A1624" w:rsidP="000A1624">
      <w:pPr>
        <w:spacing w:after="0" w:line="240" w:lineRule="auto"/>
        <w:ind w:left="-709" w:firstLine="425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A1624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</w:t>
      </w:r>
      <w:r w:rsidRPr="000A1624">
        <w:rPr>
          <w:rFonts w:ascii="Times New Roman" w:eastAsia="Calibri" w:hAnsi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Литейный округ.</w:t>
      </w:r>
    </w:p>
    <w:p w:rsidR="000A1624" w:rsidRPr="000A1624" w:rsidRDefault="000A1624" w:rsidP="000A1624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</w:rPr>
        <w:t xml:space="preserve">Текущее управление и </w:t>
      </w:r>
      <w:proofErr w:type="gramStart"/>
      <w:r w:rsidRPr="000A1624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0A1624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0A1624" w:rsidRPr="000A1624" w:rsidRDefault="000A1624" w:rsidP="000A1624">
      <w:pPr>
        <w:spacing w:after="0" w:line="240" w:lineRule="auto"/>
        <w:ind w:left="-709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отдел культуры, молодежной политики и социальных услуг Местной Администрации. </w:t>
      </w:r>
    </w:p>
    <w:p w:rsidR="000A1624" w:rsidRPr="000A1624" w:rsidRDefault="000A1624" w:rsidP="000A1624">
      <w:pPr>
        <w:spacing w:after="0" w:line="240" w:lineRule="auto"/>
        <w:ind w:left="-709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Отдел культуры, молодежной политики и социальных услуг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0A1624" w:rsidRPr="000A1624" w:rsidRDefault="000A1624" w:rsidP="000A1624">
      <w:pPr>
        <w:spacing w:after="0" w:line="240" w:lineRule="auto"/>
        <w:ind w:left="-709" w:firstLine="4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Отдел культуры, молодежной политики и социальных услуг Местной Администрации организует ведение отчетности по реализации программных мероприятий.</w:t>
      </w:r>
    </w:p>
    <w:p w:rsidR="000A1624" w:rsidRPr="000A1624" w:rsidRDefault="000A1624" w:rsidP="000A1624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right"/>
        <w:rPr>
          <w:rFonts w:ascii="Times New Roman" w:eastAsia="BatangChe" w:hAnsi="Times New Roman"/>
          <w:b/>
          <w:sz w:val="24"/>
          <w:szCs w:val="18"/>
        </w:rPr>
      </w:pPr>
      <w:r w:rsidRPr="000A1624">
        <w:rPr>
          <w:rFonts w:ascii="Times New Roman" w:eastAsia="BatangChe" w:hAnsi="Times New Roman"/>
          <w:b/>
          <w:sz w:val="24"/>
          <w:szCs w:val="18"/>
        </w:rPr>
        <w:lastRenderedPageBreak/>
        <w:t>Приложение 1</w:t>
      </w:r>
    </w:p>
    <w:p w:rsidR="00B80699" w:rsidRDefault="000A1624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Перечень основных мероприятий</w:t>
      </w:r>
      <w:r w:rsidR="00B80699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с указанием объема финансирования и </w:t>
      </w:r>
    </w:p>
    <w:p w:rsidR="00B80699" w:rsidRPr="00B80699" w:rsidRDefault="00B80699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количеством участников</w:t>
      </w:r>
    </w:p>
    <w:p w:rsidR="000A1624" w:rsidRPr="000A1624" w:rsidRDefault="000A1624" w:rsidP="00B80699">
      <w:pPr>
        <w:spacing w:after="0" w:line="240" w:lineRule="auto"/>
        <w:ind w:left="-709" w:firstLine="425"/>
        <w:jc w:val="both"/>
        <w:rPr>
          <w:rFonts w:ascii="Times New Roman" w:eastAsia="BatangChe" w:hAnsi="Times New Roman"/>
          <w:b/>
          <w:sz w:val="24"/>
          <w:szCs w:val="18"/>
        </w:rPr>
      </w:pP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3942"/>
        <w:gridCol w:w="1793"/>
        <w:gridCol w:w="2095"/>
        <w:gridCol w:w="2127"/>
      </w:tblGrid>
      <w:tr w:rsidR="000A1624" w:rsidRPr="007F3BB9" w:rsidTr="001C263B">
        <w:trPr>
          <w:trHeight w:val="639"/>
        </w:trPr>
        <w:tc>
          <w:tcPr>
            <w:tcW w:w="534" w:type="dxa"/>
          </w:tcPr>
          <w:p w:rsidR="000A1624" w:rsidRPr="007F3BB9" w:rsidRDefault="000A1624" w:rsidP="001C263B">
            <w:pPr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№</w:t>
            </w:r>
          </w:p>
          <w:p w:rsidR="000A1624" w:rsidRPr="007F3BB9" w:rsidRDefault="000A1624" w:rsidP="001C263B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7F3BB9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F3BB9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42" w:type="dxa"/>
          </w:tcPr>
          <w:p w:rsidR="000A1624" w:rsidRPr="007F3BB9" w:rsidRDefault="000A1624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793" w:type="dxa"/>
          </w:tcPr>
          <w:p w:rsidR="000A1624" w:rsidRPr="007F3BB9" w:rsidRDefault="000A1624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Время проведения</w:t>
            </w:r>
          </w:p>
        </w:tc>
        <w:tc>
          <w:tcPr>
            <w:tcW w:w="2095" w:type="dxa"/>
          </w:tcPr>
          <w:p w:rsidR="000A1624" w:rsidRPr="007F3BB9" w:rsidRDefault="000A1624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Объем финансирования</w:t>
            </w:r>
          </w:p>
          <w:p w:rsidR="000A1624" w:rsidRPr="007F3BB9" w:rsidRDefault="000A1624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2127" w:type="dxa"/>
          </w:tcPr>
          <w:p w:rsidR="000A1624" w:rsidRPr="007F3BB9" w:rsidRDefault="00B80699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Количество участников</w:t>
            </w:r>
          </w:p>
        </w:tc>
      </w:tr>
      <w:tr w:rsidR="000A1624" w:rsidRPr="007F3BB9" w:rsidTr="001C263B">
        <w:trPr>
          <w:trHeight w:val="639"/>
        </w:trPr>
        <w:tc>
          <w:tcPr>
            <w:tcW w:w="534" w:type="dxa"/>
          </w:tcPr>
          <w:p w:rsidR="000A1624" w:rsidRPr="00B80699" w:rsidRDefault="00B80699" w:rsidP="001C2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42" w:type="dxa"/>
          </w:tcPr>
          <w:p w:rsidR="000A1624" w:rsidRP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совместной с ДДТ «Преображенский» конференции по вопросам миграции (приобретение призов, подарков, организация просмотра тематических видеороликов)</w:t>
            </w:r>
          </w:p>
        </w:tc>
        <w:tc>
          <w:tcPr>
            <w:tcW w:w="1793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095" w:type="dxa"/>
          </w:tcPr>
          <w:p w:rsidR="000A1624" w:rsidRPr="00681CFB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681CFB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2127" w:type="dxa"/>
          </w:tcPr>
          <w:p w:rsidR="000A1624" w:rsidRPr="00681CFB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681CFB">
              <w:rPr>
                <w:rFonts w:ascii="Times New Roman" w:hAnsi="Times New Roman"/>
              </w:rPr>
              <w:t>200</w:t>
            </w:r>
          </w:p>
        </w:tc>
      </w:tr>
      <w:tr w:rsidR="000A1624" w:rsidRPr="007F3BB9" w:rsidTr="001C263B">
        <w:trPr>
          <w:trHeight w:val="639"/>
        </w:trPr>
        <w:tc>
          <w:tcPr>
            <w:tcW w:w="534" w:type="dxa"/>
          </w:tcPr>
          <w:p w:rsidR="000A1624" w:rsidRPr="007F3BB9" w:rsidRDefault="00B80699" w:rsidP="001C263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42" w:type="dxa"/>
          </w:tcPr>
          <w:p w:rsidR="00B80699" w:rsidRDefault="00B80699" w:rsidP="00B80699">
            <w:pPr>
              <w:rPr>
                <w:rFonts w:ascii="Times New Roman" w:hAnsi="Times New Roman"/>
              </w:rPr>
            </w:pPr>
            <w:r w:rsidRPr="007F3BB9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печатной продукции по профилактике экстремизма и терроризма:</w:t>
            </w:r>
          </w:p>
          <w:p w:rsidR="000A1624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евробуклет</w:t>
            </w:r>
            <w:proofErr w:type="spellEnd"/>
            <w:r>
              <w:rPr>
                <w:rFonts w:ascii="Times New Roman" w:hAnsi="Times New Roman"/>
              </w:rPr>
              <w:t xml:space="preserve"> (тираж 1000 экз.);</w:t>
            </w:r>
          </w:p>
          <w:p w:rsidR="00B80699" w:rsidRP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брошюра (1000 экз.)</w:t>
            </w:r>
          </w:p>
        </w:tc>
        <w:tc>
          <w:tcPr>
            <w:tcW w:w="1793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095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20,0</w:t>
            </w:r>
          </w:p>
        </w:tc>
        <w:tc>
          <w:tcPr>
            <w:tcW w:w="2127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2 000</w:t>
            </w:r>
          </w:p>
        </w:tc>
      </w:tr>
      <w:tr w:rsidR="000A1624" w:rsidRPr="007F3BB9" w:rsidTr="001C263B">
        <w:trPr>
          <w:trHeight w:val="639"/>
        </w:trPr>
        <w:tc>
          <w:tcPr>
            <w:tcW w:w="534" w:type="dxa"/>
          </w:tcPr>
          <w:p w:rsidR="000A1624" w:rsidRPr="00B80699" w:rsidRDefault="00B80699" w:rsidP="001C263B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42" w:type="dxa"/>
          </w:tcPr>
          <w:p w:rsidR="000A1624" w:rsidRP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семинаров и тренингов «Профилактика экстремизма и терроризма у подростков»</w:t>
            </w:r>
          </w:p>
        </w:tc>
        <w:tc>
          <w:tcPr>
            <w:tcW w:w="1793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1, 4 квартал</w:t>
            </w:r>
          </w:p>
        </w:tc>
        <w:tc>
          <w:tcPr>
            <w:tcW w:w="2095" w:type="dxa"/>
          </w:tcPr>
          <w:p w:rsidR="000A1624" w:rsidRPr="00B80699" w:rsidRDefault="00681CFB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80699" w:rsidRPr="00B80699">
              <w:rPr>
                <w:rFonts w:ascii="Times New Roman" w:hAnsi="Times New Roman"/>
              </w:rPr>
              <w:t>,0</w:t>
            </w:r>
          </w:p>
        </w:tc>
        <w:tc>
          <w:tcPr>
            <w:tcW w:w="2127" w:type="dxa"/>
          </w:tcPr>
          <w:p w:rsidR="000A1624" w:rsidRPr="00B80699" w:rsidRDefault="00681CFB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80699" w:rsidRPr="00B80699">
              <w:rPr>
                <w:rFonts w:ascii="Times New Roman" w:hAnsi="Times New Roman"/>
              </w:rPr>
              <w:t>0</w:t>
            </w:r>
          </w:p>
        </w:tc>
      </w:tr>
      <w:tr w:rsidR="000A1624" w:rsidRPr="007F3BB9" w:rsidTr="001C263B">
        <w:trPr>
          <w:trHeight w:val="639"/>
        </w:trPr>
        <w:tc>
          <w:tcPr>
            <w:tcW w:w="534" w:type="dxa"/>
          </w:tcPr>
          <w:p w:rsidR="000A1624" w:rsidRPr="00B80699" w:rsidRDefault="00B80699" w:rsidP="001C263B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42" w:type="dxa"/>
          </w:tcPr>
          <w:p w:rsidR="000A1624" w:rsidRPr="00B80699" w:rsidRDefault="00B80699" w:rsidP="00B80699">
            <w:pPr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  <w:sz w:val="24"/>
              </w:rPr>
              <w:t>Подготовка и публикация в муниципальной газете информационных материалов, отражающих социальную опасность экстремизма и терроризма в</w:t>
            </w:r>
            <w:r>
              <w:rPr>
                <w:rFonts w:ascii="Times New Roman" w:hAnsi="Times New Roman"/>
                <w:sz w:val="24"/>
              </w:rPr>
              <w:t xml:space="preserve"> современном обществе</w:t>
            </w:r>
          </w:p>
        </w:tc>
        <w:tc>
          <w:tcPr>
            <w:tcW w:w="1793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095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0A1624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тиражу СМИ</w:t>
            </w:r>
          </w:p>
        </w:tc>
      </w:tr>
      <w:tr w:rsidR="00B80699" w:rsidRPr="007F3BB9" w:rsidTr="001C263B">
        <w:trPr>
          <w:trHeight w:val="639"/>
        </w:trPr>
        <w:tc>
          <w:tcPr>
            <w:tcW w:w="534" w:type="dxa"/>
          </w:tcPr>
          <w:p w:rsidR="00B80699" w:rsidRPr="00B80699" w:rsidRDefault="00B80699" w:rsidP="001C263B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42" w:type="dxa"/>
          </w:tcPr>
          <w:p w:rsidR="00B80699" w:rsidRPr="007F3BB9" w:rsidRDefault="00B80699" w:rsidP="001C263B">
            <w:pPr>
              <w:rPr>
                <w:rFonts w:ascii="Times New Roman" w:hAnsi="Times New Roman"/>
              </w:rPr>
            </w:pPr>
            <w:r w:rsidRPr="007F3BB9">
              <w:rPr>
                <w:rFonts w:ascii="Times New Roman" w:hAnsi="Times New Roman"/>
              </w:rPr>
              <w:t>Размещение на электронном табло «Бегущая строка» информации по профилактике правонарушений, экстремизма и терроризма</w:t>
            </w:r>
          </w:p>
        </w:tc>
        <w:tc>
          <w:tcPr>
            <w:tcW w:w="1793" w:type="dxa"/>
          </w:tcPr>
          <w:p w:rsidR="00B80699" w:rsidRPr="007F3BB9" w:rsidRDefault="00B80699" w:rsidP="001C2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095" w:type="dxa"/>
          </w:tcPr>
          <w:p w:rsidR="00B80699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B80699" w:rsidRPr="007F3BB9" w:rsidRDefault="00B80699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B80699" w:rsidRPr="007F3BB9" w:rsidTr="001C263B">
        <w:trPr>
          <w:trHeight w:val="639"/>
        </w:trPr>
        <w:tc>
          <w:tcPr>
            <w:tcW w:w="534" w:type="dxa"/>
          </w:tcPr>
          <w:p w:rsidR="00B80699" w:rsidRPr="00B80699" w:rsidRDefault="00B80699" w:rsidP="001C263B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42" w:type="dxa"/>
          </w:tcPr>
          <w:p w:rsid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мероприятия: </w:t>
            </w:r>
          </w:p>
          <w:p w:rsid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F3BB9">
              <w:rPr>
                <w:rFonts w:ascii="Times New Roman" w:hAnsi="Times New Roman"/>
              </w:rPr>
              <w:t>Участие специалистов МА и депутатов МС при рассмотрении вопросов профилактики терроризма и экстремизма на заседания х коллегиальных и совещательных органов правоохранительной направленности при администрации района</w:t>
            </w:r>
            <w:r>
              <w:rPr>
                <w:rFonts w:ascii="Times New Roman" w:hAnsi="Times New Roman"/>
              </w:rPr>
              <w:t>.</w:t>
            </w:r>
          </w:p>
          <w:p w:rsid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F3BB9">
              <w:rPr>
                <w:rFonts w:ascii="Times New Roman" w:hAnsi="Times New Roman"/>
              </w:rPr>
              <w:t>Осуществление взаимодействия с администрацией района, правоохранительными органами, общественными объединениями, участвующими в обеспечении правопорядка на территории МО</w:t>
            </w:r>
            <w:r>
              <w:rPr>
                <w:rFonts w:ascii="Times New Roman" w:hAnsi="Times New Roman"/>
              </w:rPr>
              <w:t xml:space="preserve">, </w:t>
            </w:r>
            <w:r w:rsidRPr="007F3BB9">
              <w:rPr>
                <w:rFonts w:ascii="Times New Roman" w:hAnsi="Times New Roman"/>
              </w:rPr>
              <w:t>участие в деятельности антитеррористической комиссии Центрального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F3BB9">
              <w:rPr>
                <w:rFonts w:ascii="Times New Roman" w:hAnsi="Times New Roman"/>
              </w:rPr>
              <w:t xml:space="preserve">Выявление в ходе повседневной работы структурных подразделений фактов распространения информационных материалов экстремистского характера. </w:t>
            </w:r>
            <w:r w:rsidRPr="007F3BB9">
              <w:rPr>
                <w:rFonts w:ascii="Times New Roman" w:hAnsi="Times New Roman"/>
              </w:rPr>
              <w:lastRenderedPageBreak/>
              <w:t>Незамедлительное уведомление о данных фактах районной прокуратуры и УВД района</w:t>
            </w:r>
            <w:r>
              <w:rPr>
                <w:rFonts w:ascii="Times New Roman" w:hAnsi="Times New Roman"/>
              </w:rPr>
              <w:t>.</w:t>
            </w:r>
          </w:p>
          <w:p w:rsidR="00B80699" w:rsidRPr="00B80699" w:rsidRDefault="00B80699" w:rsidP="00B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F3BB9">
              <w:rPr>
                <w:rFonts w:ascii="Times New Roman" w:hAnsi="Times New Roman"/>
              </w:rPr>
              <w:t>Обход территории МО на предмет выявления фактов нанесения на сооружения, расположенные на территории МО Литейный округ нацистской атрибутики или символики либо атрибутики, сходных с нацистской атрибутикой или символикой.</w:t>
            </w:r>
          </w:p>
        </w:tc>
        <w:tc>
          <w:tcPr>
            <w:tcW w:w="1793" w:type="dxa"/>
          </w:tcPr>
          <w:p w:rsidR="00B80699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095" w:type="dxa"/>
          </w:tcPr>
          <w:p w:rsidR="00B80699" w:rsidRPr="00B80699" w:rsidRDefault="00B80699" w:rsidP="001C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B80699" w:rsidRPr="007F3BB9" w:rsidRDefault="00B80699" w:rsidP="001C26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/>
    <w:sectPr w:rsidR="000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1624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1CFB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2506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98C"/>
    <w:rsid w:val="009C2B99"/>
    <w:rsid w:val="009C4C81"/>
    <w:rsid w:val="009C5D5C"/>
    <w:rsid w:val="009D1C0C"/>
    <w:rsid w:val="009D32BA"/>
    <w:rsid w:val="009E7335"/>
    <w:rsid w:val="009F2CCF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0699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2016-10-21T07:54:00Z</cp:lastPrinted>
  <dcterms:created xsi:type="dcterms:W3CDTF">2016-10-21T07:55:00Z</dcterms:created>
  <dcterms:modified xsi:type="dcterms:W3CDTF">2016-10-26T10:21:00Z</dcterms:modified>
</cp:coreProperties>
</file>